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Schulgeld wird nicht erhoben.</w:t>
      </w:r>
    </w:p>
    <w:p>
      <w:r>
        <w:t xml:space="preserve">(2) Einführung und Durchführung der Lehr- und Lernmittelfreiheit für alle Schulen sind gesetzlich zu regeln. Zum Zwecke des Studiums sind im Bedarfsfalle besondere Unterhaltsbeihilfen zu gewähren. Soweit der Staat für die öffentlichen Schulen Schulgeldfreiheit gewährt, sind auch die in Artikel 8 Abs. 4 genannten Privatschulen berechtigt, zu Lasten des Staates auf die Erhebung von Schulgeld zu verzichten; soweit er Lehr- und Lernmittelfreiheit gewährt, sind Lehr- und Lernmittel in gleicher Weise für diese Privatschulen zur Verfügung zu stellen wie für die öffentlichen Schulen.</w:t>
      </w:r>
    </w:p>
    <w:p>
      <w:r>
        <w:rPr>
          <w:color w:val="555555"/>
          <w:sz w:val="17"/>
        </w:rPr>
        <w:t xml:space="preserve">Zitiervorschlag: Art 9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