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88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Finanzwesen der ertragswirtschaftlichen Unternehmungen des Landes kann durch Gesetz abweichend von den Vorschriften der Artikel 81 bis 86 geregelt werden.</w:t>
      </w:r>
    </w:p>
    <w:p>
      <w:r>
        <w:t xml:space="preserve">Übergangs- und Schlußbestimmungen</w:t>
      </w:r>
    </w:p>
    <w:p>
      <w:r>
        <w:rPr>
          <w:color w:val="555555"/>
          <w:sz w:val="17"/>
        </w:rPr>
        <w:t xml:space="preserve">Zitiervorschlag: Art 88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https://recht.nulegal.eu/gesetze/NW_26486/88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