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87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Landesrechnungshof ist eine selbständige, nur dem Gesetz unterworfene oberste Landesbehörde. Seine Mitglieder genießen den Schutz richterlicher Unabhängigkeit.</w:t>
      </w:r>
    </w:p>
    <w:p>
      <w:r>
        <w:t xml:space="preserve">(2) Der Präsident, der Vizepräsident und die anderen Mitglieder des Landesrechnungshofes werden vom Landtag ohne Aussprache gewählt und sind von der Landesregierung zu ernennen.</w:t>
      </w:r>
    </w:p>
    <w:p>
      <w:r>
        <w:t xml:space="preserve">(3) Das Nähere wird durch Gesetz geregelt.</w:t>
      </w:r>
    </w:p>
    <w:p>
      <w:r>
        <w:rPr>
          <w:color w:val="555555"/>
          <w:sz w:val="17"/>
        </w:rPr>
        <w:t xml:space="preserve">Zitiervorschlag: Art 87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https://recht.nulegal.eu/gesetze/NW_26486/87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