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86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Finanzminister hat dem Landtag über alle Einnahmen und Ausgaben im Laufe des nächsten Haushaltsjahres zur Entlastung der Landesregierung Rechnung zu legen. Der Haushaltsrechnung sind Übersichten über das Vermögen und die Schulden des Landes beizufügen.</w:t>
      </w:r>
    </w:p>
    <w:p>
      <w:r>
        <w:t xml:space="preserve">(2) Der Landesrechnungshof prüft die Rechnung sowie die Ordnungsmäßigkeit und Wirtschaftlichkeit der Haushalts- und Wirtschaftsführung. Er faßt das Ergebnis seiner Prüfung jährlich in einem Bericht für den Landtag zusammen, den er auch der Landesregierung zuleitet.</w:t>
      </w:r>
    </w:p>
    <w:p>
      <w:r>
        <w:rPr>
          <w:color w:val="555555"/>
          <w:sz w:val="17"/>
        </w:rPr>
        <w:t xml:space="preserve">Zitiervorschlag: Art 86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https://recht.nulegal.eu/gesetze/NW_26486/86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