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85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Überplanmäßige und außerplanmäßige Ausgaben bedürfen der Zustimmung des Finanzministers. Sie darf nur im Falle eines unvorhergesehenen und unabweisbaren Bedürfnisses erteilt werden.</w:t>
      </w:r>
    </w:p>
    <w:p>
      <w:r>
        <w:t xml:space="preserve">(2) Zu überplanmäßigen und außerplanmäßigen Ausgaben hat der Finanzminister die Genehmigung des Landtags einzuholen.</w:t>
      </w:r>
    </w:p>
    <w:p>
      <w:r>
        <w:rPr>
          <w:color w:val="555555"/>
          <w:sz w:val="17"/>
        </w:rPr>
        <w:t xml:space="preserve">Zitiervorschlag: Art 85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https://recht.nulegal.eu/gesetze/NW_26486/85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