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bis zum Schluß eines Haushaltsjahres der Haushaltsplan für das folgende Jahr nicht festgestellt, so ist bis zu seinem Inkrafttreten die Landesregierung ermächtigt,</w:t>
      </w:r>
    </w:p>
    <w:p>
      <w:r>
        <w:t xml:space="preserve">1. alle Ausgaben zu leisten, die nötig sind,</w:t>
      </w:r>
    </w:p>
    <w:p>
      <w:r>
        <w:t xml:space="preserve">a) um gesetzlich bestehende Einrichtungen zu erhalten und gesetzlich beschlossene Maßnahmen durchzuführen,</w:t>
      </w:r>
    </w:p>
    <w:p>
      <w:r>
        <w:t xml:space="preserve">b) um die rechtlich begründeten Verpflichtungen des Landes zu erfüllen,</w:t>
      </w:r>
    </w:p>
    <w:p>
      <w:r>
        <w:t xml:space="preserve">c) um Bauten, Beschaffungen und sonstige Leistungen fortzusetzen, für die durch den Haushaltsplan des Vorjahres bereits Beträge bewilligt worden sind;</w:t>
      </w:r>
    </w:p>
    <w:p>
      <w:r>
        <w:t xml:space="preserve">2. Schatzanweisungen bis zur Höhe eines Viertels der Endsumme des abgelaufenen Haushaltsplanes für je drei Monate auszugeben, soweit nicht Einnahmen aus Steuern und Abgaben und Einnahmen aus sonstigen Quellen die Ausgaben unter Ziffer 1 decken.</w:t>
      </w:r>
    </w:p>
    <w:p>
      <w:r>
        <w:rPr>
          <w:color w:val="555555"/>
          <w:sz w:val="17"/>
        </w:rPr>
        <w:t xml:space="preserve">Zitiervorschlag: Art 82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