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Landtag sorgt durch Bewilligung der erforderlichen laufenden Mittel für die Deckung des Landesbedarfs.</w:t>
      </w:r>
    </w:p>
    <w:p>
      <w:r>
        <w:t xml:space="preserve">(2) Alle Einnahmen und Ausgaben des Landes sind in den Haushaltsplan einzustellen; bei Landesbetrieben und bei Sondervermögen brauchen nur die Zuführungen oder Ablieferungen eingestellt zu werden. Ein Nachtragshaushaltsplan kann sich auf einzelne Einnahmen und Ausgaben beschränken. Der Haushaltsplan und der Nachtragshaushaltsplan sollen in Einnahmen und Ausgaben ausgeglichen sein.</w:t>
      </w:r>
    </w:p>
    <w:p>
      <w:r>
        <w:t xml:space="preserve">(3) Der Haushaltsplan wird für ein oder mehrere Haushaltsjahre, nach Jahren getrennt, vor Beginn des ersten Haushaltsjahres durch das Haushaltsgesetz festgestellt. Für Teile des Haushaltsplans kann vorgesehen werden, daß sie für unterschiedliche Zeiträume, nach Haushaltsjahren getrennt, gelten.</w:t>
      </w:r>
    </w:p>
    <w:p>
      <w:r>
        <w:rPr>
          <w:color w:val="555555"/>
          <w:sz w:val="17"/>
        </w:rPr>
        <w:t xml:space="preserve">Zitiervorschlag: Art 81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