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 die Anordnungen, Verfügungen und Unterlassungen der Verwaltungsbehörden kann der Betroffene die Entscheidung der Verwaltungsgerichte anrufen. Die Verwaltungsgerichte haben zu prüfen, ob die beanstandete Maßnahme dem Gesetz entspricht und die Grenze des pflichtgemäßen Ermessens nicht überschreitet.</w:t>
      </w:r>
    </w:p>
    <w:p>
      <w:r>
        <w:t xml:space="preserve">(2) Die Verwaltungsgerichtsbarkeit wird durch selbständige Gerichte in mindestens zwei Stufen ausgeübt.</w:t>
      </w:r>
    </w:p>
    <w:p>
      <w:r>
        <w:t xml:space="preserve">Fünfter Abschnitt - Der Verfassungsgerichtshof</w:t>
      </w:r>
    </w:p>
    <w:p>
      <w:r>
        <w:rPr>
          <w:color w:val="555555"/>
          <w:sz w:val="17"/>
        </w:rPr>
        <w:t xml:space="preserve">Zitiervorschlag: Art 74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