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Gesetze werden von der Landesregierung unverzüglich ausgefertigt und im Gesetz- und Verordnungsblatt verkündet. Sie werden vom Ministerpräsidenten und den beteiligten Ministern unterzeichnet.</w:t>
      </w:r>
    </w:p>
    <w:p>
      <w:r>
        <w:t xml:space="preserve">(2) Rechtsverordnungen werden von der Stelle, die sie erläßt, ausgefertigt und im Gesetz- und Verordnungsblatt verkündet.</w:t>
      </w:r>
    </w:p>
    <w:p>
      <w:r>
        <w:t xml:space="preserve">(3) Gesetze und Rechtsverordnungen treten, wenn nichts anderes bestimmt ist, mit dem vierzehnten Tage nach Ausgabe der die Verkündung enthaltenden Nummer des Gesetz- und Verordnungsblattes in Kraft.</w:t>
      </w:r>
    </w:p>
    <w:p>
      <w:r>
        <w:t xml:space="preserve">Vierter Abschnitt - Die Rechtspflege</w:t>
      </w:r>
    </w:p>
    <w:p>
      <w:r>
        <w:rPr>
          <w:color w:val="555555"/>
          <w:sz w:val="17"/>
        </w:rPr>
        <w:t xml:space="preserve">Zitiervorschlag: Art 71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https://recht.nulegal.eu/gesetze/NW_26486/71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