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Volksbegehren können darauf gerichtet werden, Gesetze zu erlassen, zu ändern oder aufzuheben. Dem Volksbegehren muß ein ausgearbeiteter und mit Gründen versehener Gesetzentwurf zugrunde liegen. Ein Volksbegehren ist nur auf Gebieten zulässig, die der Gesetzgebungsgewalt des Landes unterliegen. Über Finanzfragen, Abgabengesetze und Besoldungsordnungen ist ein Volksbegehren nicht zulässig. Über die Zulässigkeit entscheidet die Landesregierung. Gegen die Entscheidung ist die Anrufung des Verfassungsgerichtshofes zulässig.</w:t>
      </w:r>
    </w:p>
    <w:p>
      <w:r>
        <w:t xml:space="preserve">Das Volksbegehren ist nur rechtswirksam, wenn es von mindestens 8 vom Hundert der Stimmberechtigten gestellt ist.</w:t>
      </w:r>
    </w:p>
    <w:p>
      <w:r>
        <w:t xml:space="preserve">(2) Das Volksbegehren ist von der Landesregierung unter Darlegung ihres Standpunktes unverzüglich dem Landtag zu unterbreiten. Entspricht der Landtag dem Volksbegehren nicht, so ist binnen zehn Wochen ein Volksentscheid herbeizuführen. Entspricht der Landtag dem Volksbegehren, so unterbleibt der Volksentscheid.</w:t>
      </w:r>
    </w:p>
    <w:p>
      <w:r>
        <w:t xml:space="preserve">(3) Die Abstimmung kann nur bejahend oder verneinend sein. Es entscheidet die Mehrheit der abgegebenen Stimmen, sofern diese Mehrheit mindestens 15 vom Hundert der Stimmberechtigten beträgt.</w:t>
      </w:r>
    </w:p>
    <w:p>
      <w:r>
        <w:t xml:space="preserve">(4) Die Vorschriften des Artikels 31 Abs. 1 bis 3 über das Wahlrecht und Wahlverfahren finden auf das Stimmrecht und das Abstimmungsverfahren entsprechende Anwendung. Das Nähere wird durch Gesetz geregelt.</w:t>
      </w:r>
    </w:p>
    <w:p>
      <w:r>
        <w:rPr>
          <w:color w:val="555555"/>
          <w:sz w:val="17"/>
        </w:rPr>
        <w:t xml:space="preserve">Zitiervorschlag: Art 68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