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67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Volksinitiativen können darauf gerichtet sein, den Landtag im Rahmen seiner Entscheidungszuständigkeit mit bestimmten Gegenständen der politischen Willensbildung zu befassen. Einer Initiative kann auch ein mit Gründen versehener Gesetzentwurf zu Grunde liegen.</w:t>
      </w:r>
    </w:p>
    <w:p>
      <w:r>
        <w:t xml:space="preserve">(2) Volksinitiativen müssen von mindestens 0,5 vom Hundert der Stimmberechtigten unterzeichnet sein. Artikel 31 Absatz 1 und Absatz 2 Satz 1 über das Wahlrecht findet auf das Stimmrecht entsprechende Anwendung.</w:t>
      </w:r>
    </w:p>
    <w:p>
      <w:r>
        <w:t xml:space="preserve">(3) Das Nähere wird durch Gesetz geregelt.</w:t>
      </w:r>
    </w:p>
    <w:p>
      <w:r>
        <w:rPr>
          <w:color w:val="555555"/>
          <w:sz w:val="17"/>
        </w:rPr>
        <w:t xml:space="preserve">Zitiervorschlag: Art 67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https://recht.nulegal.eu/gesetze/NW_26486/67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