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62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Ministerpräsident und die Minister können jederzeit zurücktreten.</w:t>
      </w:r>
    </w:p>
    <w:p>
      <w:r>
        <w:t xml:space="preserve">(2) Das Amt des Ministerpräsidenten und der Minister endet in jedem Falle mit dem Zusammentritt eines neuen Landtags, das Amt eines Ministers auch mit jeder anderen Erledigung des Amtes des Ministerpräsidenten.</w:t>
      </w:r>
    </w:p>
    <w:p>
      <w:r>
        <w:t xml:space="preserve">(3) Im Falle des Rücktritts oder einer sonstigen Beendigung des Amtes haben die Mitglieder der Landesregierung bis zur Amtsübernahme des Nachfolgers ihr Amt weiterzuführen.</w:t>
      </w:r>
    </w:p>
    <w:p>
      <w:r>
        <w:rPr>
          <w:color w:val="555555"/>
          <w:sz w:val="17"/>
        </w:rPr>
        <w:t xml:space="preserve">Zitiervorschlag: Art 62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