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61 NW_26486 (Nordrhein-Westfalen)</w:t>
      </w:r>
    </w:p>
    <w:p>
      <w:r>
        <w:rPr>
          <w:color w:val="555555"/>
          <w:sz w:val="18"/>
        </w:rPr>
        <w:t xml:space="preserve">Verfassung für das Land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Der Landtag kann dem Ministerpräsidenten das Mißtrauen nur dadurch aussprechen, daß er mit der Mehrheit der abgegebenen Stimmen einen Nachfolger wählt.</w:t>
      </w:r>
    </w:p>
    <w:p>
      <w:r>
        <w:t xml:space="preserve">(2) Zwischen dem Antrag auf Abberufung und der Wahl müssen mindestens achtundvierzig Stunden liegen.</w:t>
      </w:r>
    </w:p>
    <w:p>
      <w:r>
        <w:rPr>
          <w:color w:val="555555"/>
          <w:sz w:val="17"/>
        </w:rPr>
        <w:t xml:space="preserve">Zitiervorschlag: Art 61 NW_26486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https://recht.nulegal.eu/gesetze/NW_26486/61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