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56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Landesregierung beschließt über Gesetzesvorlagen, die beim Landtag einzubringen sind.</w:t>
      </w:r>
    </w:p>
    <w:p>
      <w:r>
        <w:t xml:space="preserve">(2) Die Landesregierung erläßt die zur Ausführung eines Gesetzes erforderlichen Verwaltungsverordnungen, soweit das Gesetz diese Aufgabe nicht einzelnen Ministern zuweist.</w:t>
      </w:r>
    </w:p>
    <w:p>
      <w:r>
        <w:rPr>
          <w:color w:val="555555"/>
          <w:sz w:val="17"/>
        </w:rPr>
        <w:t xml:space="preserve">Zitiervorschlag: Art 56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https://recht.nulegal.eu/gesetze/NW_26486/56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