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Ministerpräsident bestimmt die Richtlinien der Politik und trägt dafür die Verantwortung.</w:t>
      </w:r>
    </w:p>
    <w:p>
      <w:r>
        <w:t xml:space="preserve">(2) Innerhalb dieser Richtlinien leitet jeder Minister seinen Geschäftsbereich selbständig und unter eigener Verantwortung.</w:t>
      </w:r>
    </w:p>
    <w:p>
      <w:r>
        <w:t xml:space="preserve">(3) Bei Meinungsverschiedenheiten über Fragen, die den Geschäftsbereich mehrerer Mitglieder der Landesregierung berühren, entscheidet die Landesregierung.</w:t>
      </w:r>
    </w:p>
    <w:p>
      <w:r>
        <w:rPr>
          <w:color w:val="555555"/>
          <w:sz w:val="17"/>
        </w:rPr>
        <w:t xml:space="preserve">Zitiervorschlag: Art 55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https://recht.nulegal.eu/gesetze/NW_26486/55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