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wählt aus seiner Mitte in geheimer Wahl ohne Aussprache den Ministerpräsidenten mit mehr als der Hälfte der gesetzlichen Zahl seiner Mitglieder.</w:t>
      </w:r>
    </w:p>
    <w:p>
      <w:r>
        <w:t xml:space="preserve">(2) Kommt eine Wahl gemäß Absatz 1 nicht zustande, so findet innerhalb von 14 Tagen ein zweiter, gegebenenfalls ein dritter Wahlgang statt, in dem der gewählt ist, der mehr als die Hälfte der abgegebenen Stimmen erhält. Ergibt sich keine solche Mehrheit, so findet eine Stichwahl zwischen den beiden Vorgeschlagenen statt, die die höchste Stimmenzahl erhalten haben.</w:t>
      </w:r>
    </w:p>
    <w:p>
      <w:r>
        <w:t xml:space="preserve">(3) Der Ministerpräsident ernennt und entläßt die Minister. Er beauftragt ein Mitglied der Landesregierung mit seiner Vertretung und zeigt seine Entscheidungen unverzüglich dem Landtag an.</w:t>
      </w:r>
    </w:p>
    <w:p>
      <w:r>
        <w:rPr>
          <w:color w:val="555555"/>
          <w:sz w:val="17"/>
        </w:rPr>
        <w:t xml:space="preserve">Zitiervorschlag: Art 52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