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50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des Landtags haben Anspruch auf angemessene Bezüge nach Maßgabe eines Gesetzes. Sie erhalten das Recht zur freien Fahrt auf allen Eisenbahnen und sonstigen Beförderungsmitteln der Deutschen Bahn im Lande Nordrhein-Westfalen. Ein Verzicht auf diese Rechte ist unzulässig.</w:t>
      </w:r>
    </w:p>
    <w:p>
      <w:r>
        <w:t xml:space="preserve">Zweiter Abschnitt - Die Landesregierung</w:t>
      </w:r>
    </w:p>
    <w:p>
      <w:r>
        <w:rPr>
          <w:color w:val="555555"/>
          <w:sz w:val="17"/>
        </w:rPr>
        <w:t xml:space="preserve">Zitiervorschlag: Art 50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50 NW_26486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