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Ehe und Familie werden als die Grundlagen der menschlichen Gesellschaft anerkannt. Sie stehen unter dem besonderen Schutz des Landes. Die Mutterschaft und die kinderreiche Familie haben Anspruch auf besondere Fürsorge.</w:t>
      </w:r>
    </w:p>
    <w:p>
      <w:r>
        <w:t xml:space="preserve">(2) Familien- und Erwerbsarbeit sind gleichwertig. Frauen und Männer sind entsprechend ihrer Entscheidung an Familien- und Erwerbsarbeit gleichberechtigt beteiligt.</w:t>
      </w:r>
    </w:p>
    <w:p>
      <w:r>
        <w:rPr>
          <w:color w:val="555555"/>
          <w:sz w:val="17"/>
        </w:rPr>
        <w:t xml:space="preserve">Zitiervorschlag: Art 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