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Landesregierung und die von ihnen Beauftragten können den Sitzungen des Landtags und seiner Ausschüsse beiwohnen. Die Aufrechterhaltung der Ordnung in der Sitzung obliegt dem Vorsitzenden. Den Mitgliedern der Landesregierung ist jederzeit, auch außerhalb der Tagesordnung, das Wort zu erteilen.</w:t>
      </w:r>
    </w:p>
    <w:p>
      <w:r>
        <w:t xml:space="preserve">(2) Der Landtag und seine Ausschüsse können die Anwesenheit jedes Mitgliedes der Landesregierung verlangen.</w:t>
      </w:r>
    </w:p>
    <w:p>
      <w:r>
        <w:t xml:space="preserve">(3) Die Vorschrift des Absatzes 1, Satz 1 und 3 gilt nicht für die Sitzungen der Untersuchungsausschüsse.</w:t>
      </w:r>
    </w:p>
    <w:p>
      <w:r>
        <w:rPr>
          <w:color w:val="555555"/>
          <w:sz w:val="17"/>
        </w:rPr>
        <w:t xml:space="preserve">Zitiervorschlag: Art 45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