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ist beschlußfähig, wenn mehr als die Hälfte der gesetzlichen Mitgliederzahl anwesend ist.</w:t>
      </w:r>
    </w:p>
    <w:p>
      <w:r>
        <w:t xml:space="preserve">(2) Der Landtag faßt seine Beschlüsse mit Stimmenmehrheit.</w:t>
      </w:r>
    </w:p>
    <w:p>
      <w:r>
        <w:rPr>
          <w:color w:val="555555"/>
          <w:sz w:val="17"/>
        </w:rPr>
        <w:t xml:space="preserve">Zitiervorschlag: Art 44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