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41a NW_26486 (Nordrhein-Westfalen)</w:t>
      </w:r>
    </w:p>
    <w:p>
      <w:r>
        <w:rPr>
          <w:color w:val="555555"/>
          <w:sz w:val="18"/>
        </w:rPr>
        <w:t xml:space="preserve">Verfassung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Zur Vorbereitung der Beschlüsse über Petitionen gemäß Artikel 17 des Grundgesetzes sind die Landesregierung und die Körperschaften, Anstalten und Stiftungen des öffentlichen Rechts sowie Behörden und sonstige Verwaltungseinrichtungen, soweit sie unter der Aufsicht des Landes stehen, verpflichtet, dem Petitionsausschuß des Landtags auf sein Verlangen jederzeit Zutritt zu ihren Einrichtungen zu gestatten.</w:t>
      </w:r>
    </w:p>
    <w:p>
      <w:r>
        <w:t xml:space="preserve">(2) Die in Absatz 1 genannten Stellen sind verpflichtet, dem Petitionsausschuß auf sein Verlangen alle erforderlichen Auskünfte zu erteilen und Akten zugängig zu machen. Der Petitionsausschuß ist berechtigt, den Petenten und beteiligte Personen anzuhören. Nach näherer Bestimmung der Geschäftsordnung kann der Petitionsausschuß Beweise durch Vernehmung von Zeugen und Sachverständigen erheben. Die Vorschriften der Strafprozeßordnung finden sinngemäß Anwendung. Das Brief-, Post- und Fernmeldegeheimnis bleibt unberührt.</w:t>
      </w:r>
    </w:p>
    <w:p>
      <w:r>
        <w:t xml:space="preserve">(3) Nach Maßgabe der Geschäftsordnung kann der Petitionsausschuß die ihm gemäß Absatz 1 und 2 zustehenden Befugnisse mit Ausnahme der eidlichen Vernehmung auf einzelne Mitglieder des Ausschusses übertragen; auf Antrag des Petitionsausschusses beauftragt der Präsident des Landtags Beamte der Landtagsverwaltung mit der Wahrnehmung dieser Befugnisse. Artikel 45 Abs. 1 und 2 findet sinngemäß Anwendung.</w:t>
      </w:r>
    </w:p>
    <w:p>
      <w:r>
        <w:rPr>
          <w:color w:val="555555"/>
          <w:sz w:val="17"/>
        </w:rPr>
        <w:t xml:space="preserve">Zitiervorschlag: Art 41a NW_26486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https://recht.nulegal.eu/gesetze/NW_26486/41a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