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Landesregierung unterrichtet den Landtag frühzeitig und umfassend über die Vorbereitung von Landesgesetzen, Staatsverträgen, Verwaltungsabkommen und Angelegenheiten der Landesplanung sowie über Angelegenheiten des Bundes und der Europäischen Union, soweit sie an ihnen mitwirkt. Das Nähere regelt eine Vereinbarung zwischen Landtag und Landesregierung.</w:t>
      </w:r>
    </w:p>
    <w:p>
      <w:r>
        <w:t xml:space="preserve">(2) In Angelegenheiten der Europäischen Union, die im Schwerpunkt Gesetzgebungsrechte des Landtags betreffen, berücksichtigt die Landesregierung die Stellungnahme des Landtags bei der Wahrnehmung ihrer Aufgaben. Weicht die Landesregierung in ihrem Stimmverhalten im Bundesrat von einer Stellungnahme des Landtags ab, so hat sie ihre Entscheidung gegenüber dem Landtag zu begründen.</w:t>
      </w:r>
    </w:p>
    <w:p>
      <w:r>
        <w:rPr>
          <w:color w:val="555555"/>
          <w:sz w:val="17"/>
        </w:rPr>
        <w:t xml:space="preserve">Zitiervorschlag: Art 40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