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im Grundgesetz für die Bundesrepublik Deutschland in der Fassung vom 23. Mai 1949 festgelegten Grundrechte und staatsbürgerlichen Rechte sind Bestandteil dieser Verfassung und unmittelbar geltendes Landesrecht.</w:t>
      </w:r>
    </w:p>
    <w:p>
      <w:r>
        <w:t xml:space="preserve">(2) Jeder hat Anspruch auf Schutz seiner personenbezogenen Daten. Eingriffe sind nur in überwiegendem Interesse der Allgemeinheit auf Grund eines Gesetzes zulässig.</w:t>
      </w:r>
    </w:p>
    <w:p>
      <w:r>
        <w:t xml:space="preserve">Zweiter Abschnitt - Die Familie</w:t>
      </w:r>
    </w:p>
    <w:p>
      <w:r>
        <w:rPr>
          <w:color w:val="555555"/>
          <w:sz w:val="17"/>
        </w:rPr>
        <w:t xml:space="preserve">Zitiervorschlag: Art 4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