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Landtag wählt den Präsidenten, dessen Stellvertreter und die übrigen Mitglieder des Präsidiums. Er gibt sich seine Geschäftsordnung.</w:t>
      </w:r>
    </w:p>
    <w:p>
      <w:r>
        <w:t xml:space="preserve">(2) Bis zur Wahl des neuen Präsidiums führt das bisherige Präsidium die Geschäfte weiter.</w:t>
      </w:r>
    </w:p>
    <w:p>
      <w:r>
        <w:t xml:space="preserve">(3) Der Landtag wird jeweils durch den Präsidenten einberufen.</w:t>
      </w:r>
    </w:p>
    <w:p>
      <w:r>
        <w:t xml:space="preserve">(4) Auf Antrag der Landesregierung oder eines Viertels seiner Mitglieder muß der Landtag unverzüglich einberufen werden.</w:t>
      </w:r>
    </w:p>
    <w:p>
      <w:r>
        <w:rPr>
          <w:color w:val="555555"/>
          <w:sz w:val="17"/>
        </w:rPr>
        <w:t xml:space="preserve">Zitiervorschlag: Art 38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https://recht.nulegal.eu/gesetze/NW_26486/38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