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tritt spätestens am zwanzigsten Tag nach der Wahl zusammen. Der neugewählte Landtag wird zu seiner ersten Sitzung vom bisherigen Präsidenten einberufen.</w:t>
      </w:r>
    </w:p>
    <w:p>
      <w:r>
        <w:t xml:space="preserve">(2) Nach dem Zusammentritt eines neuen Landtags führt das an Jahren älteste oder, wenn es ablehnt oder verhindert ist, das jeweils nächstälteste Mitglied des Landtags den Vorsitz, bis der neugewählte Präsident oder einer seiner Stellvertreter das Amt übernimmt.</w:t>
      </w:r>
    </w:p>
    <w:p>
      <w:r>
        <w:rPr>
          <w:color w:val="555555"/>
          <w:sz w:val="17"/>
        </w:rPr>
        <w:t xml:space="preserve">Zitiervorschlag: Art 37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