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kann sich durch Beschluß auflösen. Hierzu bedarf es der Zustimmung der Mehrheit der gesetzlichen Mitgliederzahl.</w:t>
      </w:r>
    </w:p>
    <w:p>
      <w:r>
        <w:t xml:space="preserve">(2) Nach der Auflösung des Landtags muß die Neuwahl binnen neunzig Tagen stattfinden.</w:t>
      </w:r>
    </w:p>
    <w:p>
      <w:r>
        <w:rPr>
          <w:color w:val="555555"/>
          <w:sz w:val="17"/>
        </w:rPr>
        <w:t xml:space="preserve">Zitiervorschlag: Art 35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