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Wahlprüfung ist Sache des Landtags.</w:t>
      </w:r>
    </w:p>
    <w:p>
      <w:r>
        <w:t xml:space="preserve">(2) Ihm obliegt auch die Feststellung, ob ein Abgeordneter des Landtags die Mitgliedschaft verloren hat.</w:t>
      </w:r>
    </w:p>
    <w:p>
      <w:r>
        <w:t xml:space="preserve">(3) Die Entscheidung kann durch Beschwerde beim Verfassungsgerichtshof angefochten werden.</w:t>
      </w:r>
    </w:p>
    <w:p>
      <w:r>
        <w:t xml:space="preserve">(4) Das Nähere wird durch Gesetz geregelt.</w:t>
      </w:r>
    </w:p>
    <w:p>
      <w:r>
        <w:rPr>
          <w:color w:val="555555"/>
          <w:sz w:val="17"/>
        </w:rPr>
        <w:t xml:space="preserve">Zitiervorschlag: Art 33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