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Vereinigungen und Personen, die es unternehmen, die staatsbürgerlichen Freiheiten zu unterdrücken oder gegen Volk, Land oder Verfassung Gewalt anzuwenden, dürfen sich an Wahlen und Abstimmungen nicht beteiligen.</w:t>
      </w:r>
    </w:p>
    <w:p>
      <w:r>
        <w:t xml:space="preserve">(2) Die Entscheidung darüber, ob diese Voraussetzungen vorliegen, trifft auf Antrag der Landesregierung oder von mindestens fünfzig Abgeordneten des Landtags der Verfassungsgerichtshof.</w:t>
      </w:r>
    </w:p>
    <w:p>
      <w:r>
        <w:rPr>
          <w:color w:val="555555"/>
          <w:sz w:val="17"/>
        </w:rPr>
        <w:t xml:space="preserve">Zitiervorschlag: Art 32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