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31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Abgeordneten werden in allgemeiner, gleicher, unmittelbarer, geheimer und freier Wahl gewählt.</w:t>
      </w:r>
    </w:p>
    <w:p>
      <w:r>
        <w:t xml:space="preserve">(2) Wahlberechtigt ist, wer das 16. Lebensjahr vollendet hat. Wählbar ist, wer das Alter erreicht hat, mit dem die Volljährigkeit eintritt.</w:t>
      </w:r>
    </w:p>
    <w:p>
      <w:r>
        <w:t xml:space="preserve">(3) Die Wahl findet an einem Sonntag oder einem gesetzlichen Feiertag statt.</w:t>
      </w:r>
    </w:p>
    <w:p>
      <w:r>
        <w:t xml:space="preserve">(4) Das Nähere wird durch Gesetz geregelt.</w:t>
      </w:r>
    </w:p>
    <w:p>
      <w:r>
        <w:rPr>
          <w:color w:val="555555"/>
          <w:sz w:val="17"/>
        </w:rPr>
        <w:t xml:space="preserve">Zitiervorschlag: Art 31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