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Gesetzgebung steht dem Volk und der Volksvertretung zu.</w:t>
      </w:r>
    </w:p>
    <w:p>
      <w:r>
        <w:t xml:space="preserve">(2) Die Verwaltung liegt in den Händen der Landesregierung, der Gemeinden und der Gemeindeverbände.</w:t>
      </w:r>
    </w:p>
    <w:p>
      <w:r>
        <w:t xml:space="preserve">(3) Die Rechtsprechung wird durch unabhängige Richter ausgeübt.</w:t>
      </w:r>
    </w:p>
    <w:p>
      <w:r>
        <w:t xml:space="preserve">Zweiter Teil</w:t>
      </w:r>
    </w:p>
    <w:p>
      <w:r>
        <w:t xml:space="preserve">Von den Grundrechten und der Ordnung</w:t>
      </w:r>
    </w:p>
    <w:p>
      <w:r>
        <w:t xml:space="preserve">des Gemeinschaftslebens</w:t>
      </w:r>
    </w:p>
    <w:p>
      <w:r>
        <w:t xml:space="preserve">Erster Abschnitt - Von den Grundrechten</w:t>
      </w:r>
    </w:p>
    <w:p>
      <w:r>
        <w:rPr>
          <w:color w:val="555555"/>
          <w:sz w:val="17"/>
        </w:rPr>
        <w:t xml:space="preserve">Zitiervorschlag: Art 3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