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29a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natürlichen Lebensgrundlagen und die Tiere stehen unter dem Schutz des Landes, der Gemeinden und Gemeindeverbände.</w:t>
      </w:r>
    </w:p>
    <w:p>
      <w:r>
        <w:t xml:space="preserve">(2) Die notwendigen Bindungen und Pflichten bestimmen sich unter Ausgleich der betroffenen öffentlichen und privaten Belange. Das Nähere regelt das Gesetz.</w:t>
      </w:r>
    </w:p>
    <w:p>
      <w:r>
        <w:t xml:space="preserve">Dritter Teil</w:t>
      </w:r>
    </w:p>
    <w:p>
      <w:r>
        <w:t xml:space="preserve">Von den Organen und Aufgaben des Landes</w:t>
      </w:r>
    </w:p>
    <w:p>
      <w:r>
        <w:t xml:space="preserve">Erster Abschnitt - Der Landtag</w:t>
      </w:r>
    </w:p>
    <w:p>
      <w:r>
        <w:rPr>
          <w:color w:val="555555"/>
          <w:sz w:val="17"/>
        </w:rPr>
        <w:t xml:space="preserve">Zitiervorschlag: Art 29a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https://recht.nulegal.eu/gesetze/NW_26486/29a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