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Verbindung weiter Volksschichten mit dem Grund und Boden ist anzustreben.</w:t>
      </w:r>
    </w:p>
    <w:p>
      <w:r>
        <w:t xml:space="preserve">(2) Das Land hat die Aufgabe, nach Maßgabe der Gesetze neue Wohn- und Wirtschaftsheimstätten zu schaffen und den klein- und mittelbäuerlichen Besitz zu stärken.</w:t>
      </w:r>
    </w:p>
    <w:p>
      <w:r>
        <w:t xml:space="preserve">(3) Die Kleinsiedlung und das Kleingartenwesen sind zu fördern.</w:t>
      </w:r>
    </w:p>
    <w:p>
      <w:r>
        <w:rPr>
          <w:color w:val="555555"/>
          <w:sz w:val="17"/>
        </w:rPr>
        <w:t xml:space="preserve">Zitiervorschlag: Art 29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