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Großbetriebe der Grundstoffindustrie und Unternehmen, die wegen ihrer monopolartigen Stellung besondere Bedeutung haben, sollen in Gemeineigentum überführt werden.</w:t>
      </w:r>
    </w:p>
    <w:p>
      <w:r>
        <w:t xml:space="preserve">(2) Zusammenschlüsse, die ihre wirtschaftliche Macht missbrauchen, sind zu verbieten.</w:t>
      </w:r>
    </w:p>
    <w:p>
      <w:r>
        <w:rPr>
          <w:color w:val="555555"/>
          <w:sz w:val="17"/>
        </w:rPr>
        <w:t xml:space="preserve">Zitiervorschlag: Art 27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