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Sonntag und die staatlich anerkannten Feiertage werden als Tage der Gottesverehrung, der seelischen Erhebung, der körperlichen Erholung und der Arbeitsruhe anerkannt und gesetzlich geschützt.</w:t>
      </w:r>
    </w:p>
    <w:p>
      <w:r>
        <w:t xml:space="preserve">(2) Der 1. Mai als Tag des Bekenntnisses zu Freiheit und Frieden, sozialer Gerechtigkeit, Völkerversöhnung und Menschenwürde ist gesetzlicher Feiertag.</w:t>
      </w:r>
    </w:p>
    <w:p>
      <w:r>
        <w:rPr>
          <w:color w:val="555555"/>
          <w:sz w:val="17"/>
        </w:rPr>
        <w:t xml:space="preserve">Zitiervorschlag: Art 25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https://recht.nulegal.eu/gesetze/NW_26486/25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