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Bestimmungen der Verträge mit der Katholischen Kirche und der Evangelischen Kirche der Altpreußischen Union, die im früheren Freistaat Preußen Geltung hatten, werden für die Gebiete des Landes Nordrhein-Westfalen, die zum ehemaligen Preußen gehörten, als geltendes Recht anerkannt.</w:t>
      </w:r>
    </w:p>
    <w:p>
      <w:r>
        <w:t xml:space="preserve">(2) Zur Änderung dieser Kirchenverträge und zum Abschluß neuer Verträge ist außer der Zustimmung der Vertragspartner ein Landesgesetz erforderlich.</w:t>
      </w:r>
    </w:p>
    <w:p>
      <w:r>
        <w:t xml:space="preserve">Vierter Abschnitt - Arbeit, Wirtschaft und Umwelt</w:t>
      </w:r>
    </w:p>
    <w:p>
      <w:r>
        <w:rPr>
          <w:color w:val="555555"/>
          <w:sz w:val="17"/>
        </w:rPr>
        <w:t xml:space="preserve">Zitiervorschlag: Art 23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