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21 NW_26486 (Nordrhein-Westfalen)</w:t>
      </w:r>
    </w:p>
    <w:p>
      <w:r>
        <w:rPr>
          <w:color w:val="555555"/>
          <w:sz w:val="18"/>
        </w:rPr>
        <w:t xml:space="preserve">Verfassung für das Land Nordrhein-Westfalen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den Kirchen oder den Religionsgemeinschaften gemäß Gesetz, Vertrag oder anderen Rechtstiteln zustehenden Leistungen des Staates, der politischen Gemeinden oder Gemeindeverbände können nur durch Vereinbarungen abgelöst werden; soweit solche Vereinbarungen das Land betreffen, bedürfen sie der Bestätigung durch Landesgesetz.</w:t>
      </w:r>
    </w:p>
    <w:p>
      <w:r>
        <w:rPr>
          <w:color w:val="555555"/>
          <w:sz w:val="17"/>
        </w:rPr>
        <w:t xml:space="preserve">Zitiervorschlag: Art 21 NW_26486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https://recht.nulegal.eu/gesetze/NW_26486/21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