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Freiheit der Vereinigung zu Kirchen oder Religionsgemeinschaften wird gewährleistet. Der Zusammenschluß von Kirchen oder Religionsgemeinschaften innerhalb des Landes unterliegt keinen Beschränkungen.</w:t>
      </w:r>
    </w:p>
    <w:p>
      <w:r>
        <w:t xml:space="preserve">(2) Die Kirchen und die Religionsgemeinschaften ordnen und verwalten ihre Angelegenheiten selbständig innerhalb der Schranken des für alle geltenden Gesetzes. Sie haben das Recht, ihre Ämter ohne Mitwirkung des Staates und der politischen Gemeinden zu verleihen oder zu entziehen.</w:t>
      </w:r>
    </w:p>
    <w:p>
      <w:r>
        <w:rPr>
          <w:color w:val="555555"/>
          <w:sz w:val="17"/>
        </w:rPr>
        <w:t xml:space="preserve">Zitiervorschlag: Art 19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