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Kultur, Kunst und Wissenschaft sind durch Land und Gemeinden zu pflegen und zu fördern.</w:t>
      </w:r>
    </w:p>
    <w:p>
      <w:r>
        <w:t xml:space="preserve">(2) Die Denkmäler der Kunst, der Geschichte und der Kultur, die Landschaft und Naturdenkmale stehen unter dem Schutz des Landes, der Gemeinden und Gemeindeverbände.</w:t>
      </w:r>
    </w:p>
    <w:p>
      <w:r>
        <w:t xml:space="preserve">(3) Sport ist durch Land und Gemeinden zu pflegen und zu fördern.</w:t>
      </w:r>
    </w:p>
    <w:p>
      <w:r>
        <w:rPr>
          <w:color w:val="555555"/>
          <w:sz w:val="17"/>
        </w:rPr>
        <w:t xml:space="preserve">Zitiervorschlag: Art 18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