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Erwachsenenbildung ist zu fördern. Als Träger von Einrichtungen der Erwachsenenbildung werden neben Staat, Gemeinden und Gemeindeverbänden auch andere Träger, wie die Kirchen und freien Vereinigungen, anerkannt.</w:t>
      </w:r>
    </w:p>
    <w:p>
      <w:r>
        <w:rPr>
          <w:color w:val="555555"/>
          <w:sz w:val="17"/>
        </w:rPr>
        <w:t xml:space="preserve">Zitiervorschlag: Art 17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