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16 NW_26486 (Nordrhein-Westfalen)</w:t>
      </w:r>
    </w:p>
    <w:p>
      <w:r>
        <w:rPr>
          <w:color w:val="555555"/>
          <w:sz w:val="18"/>
        </w:rPr>
        <w:t xml:space="preserve">Verfassung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Universitäten und diejenigen Hochschulen, die ihnen als Stätten der Forschung und der Lehre gleichstehen, haben, unbeschadet der staatlichen Aufsicht, das Recht auf eine ihrem besonderen Charakter entsprechende Selbstverwaltung im Rahmen der Gesetze und ihrer staatlich anerkannten Satzungen.</w:t>
      </w:r>
    </w:p>
    <w:p>
      <w:r>
        <w:t xml:space="preserve">(2) Zur Ausbildung ihrer Geistlichen haben die Kirchen und zur Ausbildung ihrer Religionsdiener die Religionsgemeinschaften das Recht, eigene Anstalten mit Hochschulcharakter zu errichten und zu unterhalten.</w:t>
      </w:r>
    </w:p>
    <w:p>
      <w:r>
        <w:rPr>
          <w:color w:val="555555"/>
          <w:sz w:val="17"/>
        </w:rPr>
        <w:t xml:space="preserve">Zitiervorschlag: Art 16 NW_26486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https://recht.nulegal.eu/gesetze/NW_26486/16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