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Schulwesen des Landes baut sich auf einer für alle Kinder verbindlichen Grundschule auf. Das Schulwesen wird durch die Mannigfaltigkeit der Lebens- und Berufsaufgaben bestimmt. Das Land gewährleistet ein ausreichendes und vielfältiges öffentliches Schulwesen, das ein gegliedertes Schulsystem, integrierte Schulformen sowie weitere andere Schulformen ermöglicht. Für die Aufnahme in eine Schule sind Anlage und Neigung des Kindes maßgebend, nicht die wirtschaftliche Lage und die gesellschaftliche Stellung der Eltern.</w:t>
      </w:r>
    </w:p>
    <w:p>
      <w:r>
        <w:t xml:space="preserve">(2) Die Erziehungsberechtigten wirken durch Elternvertretungen an der Gestaltung des Schulwesens mit.</w:t>
      </w:r>
    </w:p>
    <w:p>
      <w:r>
        <w:rPr>
          <w:color w:val="555555"/>
          <w:sz w:val="17"/>
        </w:rPr>
        <w:t xml:space="preserve">Zitiervorschlag: Art 10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