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Nordrhein-Westfalen ist ein Gliedstaat der Bundesrepublik Deutschland und damit Teil der Europäischen Union. Das Land gliedert sich in Gemeinden und Gemeindeverbände.</w:t>
      </w:r>
    </w:p>
    <w:p>
      <w:r>
        <w:t xml:space="preserve">(2) Die Landesfarben und das Landeswappen werden durch Gesetz bestimmt.</w:t>
      </w:r>
    </w:p>
    <w:p>
      <w:r>
        <w:t xml:space="preserve">(3) Nordrhein-Westfalen trägt zur Verwirklichung und Entwicklung eines geeinten Europas bei, das demokratischen, rechtsstaatlichen, sozialen und föderativen Grundsätzen sowie dem Grundsatz der Subsidiarität verpflichtet ist, die Eigenständigkeit der Regionen wahrt und deren Mitwirkung an europäischen Entscheidungen sichert. Das Land arbeitet mit anderen europäischen Regionen zusammen und unterstützt die grenzüberschreitende Kooperation.</w:t>
      </w:r>
    </w:p>
    <w:p>
      <w:r>
        <w:rPr>
          <w:color w:val="555555"/>
          <w:sz w:val="17"/>
        </w:rPr>
        <w:t xml:space="preserve">Zitiervorschlag: Art 1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