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Zwei oder mehr Mitbeteiligte eines Bergwerks können eine Gewerkschaft bilden.</w:t>
      </w:r>
    </w:p>
    <w:p>
      <w:r>
        <w:t xml:space="preserve">(2) Die Errichtung erfolgt durch Abschluß eines gerichtlich oder notariell zu beurkundenden Vertrages (Gründungsvertrag), der ein die Verfassung der Gewerkschaft regelndes Statut (Satzung) enthält. Aus dem Statut muß sich Sitz und Zweck der Gewerkschaft ergeben. Der Gewerkschaftszweck darf nicht überwiegend bergbaufremd sein.</w:t>
      </w:r>
    </w:p>
    <w:p>
      <w:r>
        <w:t xml:space="preserve">(3) Der Gründungsvertrag bedarf der Bestätigung des Oberbergamts. Mit der Aushändigung der Bestätigungsurkunde entsteht die Gewerkschaft; gleichzeitig geht das Eigentum an dem Bergwerk auf sie über. Vor der Aushändigung der Bestätigungsurkunde besteht die Gewerkschaft als solche nicht. Wird vor der Aushändigung der Bestätigungsurkunde im Namen der Gewerkschaft gehandelt, so haftet der Handelnde persönlich; handeln mehrere, so haften sie als Gesamtschuldner. Übernimmt die Gewerkschaft eine vor der Aushändigung der Bestätigungsurkunde in ihrem Namen eingegangene Verpflichtung durch Vertrag mit dem Schuldner in der Weise, daß sie an die Stelle des bisherigen Schuldners tritt, so bedarf es zur Wirksamkeit der Schuldübernahme der Zustimmung des Gläubigers nicht, wenn die Schuldübernahme binnen drei Monaten nach Aushändigung der Bestätigungsurkunde vereinbart und dem Gläubiger von der Gewerkschaft oder dem Schuldner mitgeteilt wird.</w:t>
      </w:r>
    </w:p>
    <w:p>
      <w:r>
        <w:t xml:space="preserve">(4) Änderungen des Statuts sind gerichtlich oder notariell zu beurkunden. Sie bedürfen der Zustimmung von wenigstens drei Vierteilen aller Anteile und der Bestätigung des Oberbergamts.</w:t>
      </w:r>
    </w:p>
    <w:p>
      <w:r>
        <w:t xml:space="preserve">(5) Die Bestimmungen der §§ 95-110, 114 Abs. 2 und 123-128 dürfen durch das Statut nicht abgeändert werden.</w:t>
      </w:r>
    </w:p>
    <w:p>
      <w:r>
        <w:t xml:space="preserve">(6) Die Gewerkschaft soll durch Beschluß des Oberbergamts aufgelöst werden, wenn sie fortgesetzt überwiegend bergbaufremde Geschäfte betreibt. Die Gewerkschaft ist abzuwickeln; die Fortsetzung der aufgelösten Gewerkschaft ist ausgeschlossen.</w:t>
      </w:r>
    </w:p>
    <w:p>
      <w:r>
        <w:rPr>
          <w:color w:val="555555"/>
          <w:sz w:val="17"/>
        </w:rPr>
        <w:t xml:space="preserve">Zitiervorschlag: § 94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