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Kann der Schürfer sich mit dem Grundbesitzer über die Gestattung der Schürfarbeiten nicht gütlich. einigen, so entscheidet das Oberbergamt durch einen Beschluß darüber, ob und unter welchen Bedingungen die Schürfarbeiten unternommen werden dürfen.</w:t>
      </w:r>
    </w:p>
    <w:p>
      <w:r>
        <w:t xml:space="preserve">(2) Das Oberbergamt darf die Ermächtigung nur in den Fällen des § 4 versagen.</w:t>
      </w:r>
    </w:p>
    <w:p>
      <w:r>
        <w:t xml:space="preserve">(3) Dasselbe setzt beim Mangel einer Einigung unter den Beteiligten die Entschädigung und die Sicherheitsleistung (§ 6) fest ....</w:t>
      </w:r>
    </w:p>
    <w:p>
      <w:r>
        <w:t xml:space="preserve">(4) Wegen der Kosten gilt § 147 entsprechend.</w:t>
      </w:r>
    </w:p>
    <w:p>
      <w:r>
        <w:rPr>
          <w:color w:val="555555"/>
          <w:sz w:val="17"/>
        </w:rPr>
        <w:t xml:space="preserve">Zitiervorschlag: § 8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