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Bergwerksbesitzer ist verpflichtet, in den dafür festgesetzten Zeiträumen und Formen der Bergbehörde die vom Minister für Wirtschaft, Mittelstand und Verkehr durch Rechtsverordnung vorgeschriebenen statistischen Nachrichten einzureichen.</w:t>
      </w:r>
    </w:p>
    <w:p>
      <w:r>
        <w:t xml:space="preserve">Dritter Abschnitt</w:t>
      </w:r>
    </w:p>
    <w:p>
      <w:r>
        <w:t xml:space="preserve">Von den Bergleuten</w:t>
      </w:r>
    </w:p>
    <w:p>
      <w:r>
        <w:t xml:space="preserve">und den Betriebsangestellten</w:t>
      </w:r>
    </w:p>
    <w:p>
      <w:r>
        <w:t xml:space="preserve">§§ 80 bis 91</w:t>
      </w:r>
    </w:p>
    <w:p>
      <w:r>
        <w:rPr>
          <w:color w:val="555555"/>
          <w:sz w:val="17"/>
        </w:rPr>
        <w:t xml:space="preserve">Zitiervorschlag: § 79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