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Will der Bergwerksbesitzer den Betrieb des Bergwerks einstellen, so hat er der Bergbehörde hiervon mindestens drei Monate vorher Anzeige zu machen.</w:t>
      </w:r>
    </w:p>
    <w:p>
      <w:r>
        <w:t xml:space="preserve">(2) Muß der Betrieb infolge unvorhergesehener Ereignisse schon in kürzerer Frist oder sofort eingestellt werden, so ist die Anzeige unverzüglich zu erstatten.</w:t>
      </w:r>
    </w:p>
    <w:p>
      <w:r>
        <w:t xml:space="preserve">(3) In den Fällen von Abs. 1 und 2 hat der Bergwerksbesitzer der Bergbehörde unverzüglich seinen Betriebsplan für die erforderlichen Abschlußarbeiten vorzulegen. Die §§ 67 bis 70 gelten entsprechend.</w:t>
      </w:r>
    </w:p>
    <w:p>
      <w:r>
        <w:rPr>
          <w:color w:val="555555"/>
          <w:sz w:val="17"/>
        </w:rPr>
        <w:t xml:space="preserve">Zitiervorschlag: § 71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https://recht.nulegal.eu/gesetze/NW_26481/71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