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Bergwerkseigentümer hat die Befugnis, die Abtretung des zu seinen bergbaulichen Zwecken (§§ 54 bis 60) erforderlichen Grund und Bodens nach näherer Vorschrift des fünften Titels zu verlangen.</w:t>
      </w:r>
    </w:p>
    <w:p>
      <w:r>
        <w:t xml:space="preserve">Zweiter Abschnitt</w:t>
      </w:r>
    </w:p>
    <w:p>
      <w:r>
        <w:t xml:space="preserve">Von dem Betriebe und der Verwaltung</w:t>
      </w:r>
    </w:p>
    <w:p>
      <w:r>
        <w:rPr>
          <w:color w:val="555555"/>
          <w:sz w:val="17"/>
        </w:rPr>
        <w:t xml:space="preserve">Zitiervorschlag: § 64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