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bei Ausführung eines Hilfsbaues im freien Felde gewonnenen Mineralien (§ 1) werden als Teil der Förderung des durch den Hilfsbau zu lösenden Bergwerks behandelt.</w:t>
      </w:r>
    </w:p>
    <w:p>
      <w:r>
        <w:t xml:space="preserve">(2) Werden bei Ausführung eines Hilfsbaues im Felde eines anderen Bergwerkseigentümers Mineralien gewonnen, auf die der letztere berechtigt ist, so müssen diese Mineralien demselben auf sein Verlangen unentgeltlich herausgegeben werden.</w:t>
      </w:r>
    </w:p>
    <w:p>
      <w:r>
        <w:rPr>
          <w:color w:val="555555"/>
          <w:sz w:val="17"/>
        </w:rPr>
        <w:t xml:space="preserve">Zitiervorschlag: § 63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