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57 NW_26481 (Nordrhein-Westfalen)</w:t>
      </w:r>
    </w:p>
    <w:p>
      <w:r>
        <w:rPr>
          <w:color w:val="555555"/>
          <w:sz w:val="18"/>
        </w:rPr>
        <w:t xml:space="preserve">Allgemeines Berggesetz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Bergwerkseigentümer ist befugt, die durch den Betrieb des Bergwerks gewonnenen, nicht in § 1 aufgeführten Mineralien zu Zwecken seines Betriebes ohne Entschädigung des Grundeigentümers zu verwenden.</w:t>
      </w:r>
    </w:p>
    <w:p>
      <w:r>
        <w:t xml:space="preserve">(2) Soweit diese Verwendung nicht erfolgt, ist der Bergwerkseigentümer verpflichtet, die bezeichneten Mineralien dem Grundeigentümer auf sein Verlangen gegen Erstattung der Gewinnungs- und Förderungskosten herauszugeben.</w:t>
      </w:r>
    </w:p>
    <w:p>
      <w:r>
        <w:rPr>
          <w:color w:val="555555"/>
          <w:sz w:val="17"/>
        </w:rPr>
        <w:t xml:space="preserve">Zitiervorschlag: § 57 NW_26481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https://recht.nulegal.eu/gesetze/NW_26481/57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