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Mineralien, die mit dem in der Verleihungsurkunde benannten Mineral innerhalb der Grenzen des Feldes in einem solchen Zusammenhange vorkommen, daß dieselben nach der Entscheidung des Oberbergamts aus bergtechnischen oder bergaufsichtlichen Gründen gemeinschaftlich gewonnen werden müssen, hat der Bergwerkseigentümer in seinem Felde vor jedem Dritten ein Vorrecht zum Muten.</w:t>
      </w:r>
    </w:p>
    <w:p>
      <w:r>
        <w:t xml:space="preserve">(2) Legt ein Dritter auf solche Mineralien Mutung ein, so wird dieselbe dem Bergwerkseigentümer mitgeteilt. Letzterer muß alsdann binnen vier Wochen nach Ablauf des Tages dieser Mitteilung Mutung einlegen, widrigenfalls sein Vorrecht erlischt.</w:t>
      </w:r>
    </w:p>
    <w:p>
      <w:r>
        <w:t xml:space="preserve">(3) Auf andere Mineralien, die nicht in dem vorbezeichneten Zusammenhange vorkommen, hat der Bergwerkseigentümer kein Vorrecht.</w:t>
      </w:r>
    </w:p>
    <w:p>
      <w:r>
        <w:rPr>
          <w:color w:val="555555"/>
          <w:sz w:val="17"/>
        </w:rPr>
        <w:t xml:space="preserve">Zitiervorschlag: § 55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